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40"/>
        <w:jc w:val="center"/>
      </w:pPr>
      <w:r>
        <w:rPr>
          <w:b/>
          <w:i w:val="0"/>
          <w:sz w:val="26"/>
        </w:rPr>
        <w:t>CONTRATTO DI LOCAZIONE AD USO ABITATIVO</w:t>
      </w:r>
    </w:p>
    <w:p>
      <w:pPr>
        <w:spacing w:before="0" w:after="280"/>
        <w:jc w:val="center"/>
      </w:pPr>
      <w:r>
        <w:rPr>
          <w:b w:val="0"/>
          <w:i/>
        </w:rPr>
        <w:t>(art. 2, comma 1, Legge 9 dicembre 1998, n. 431)</w:t>
      </w:r>
    </w:p>
    <w:p>
      <w:pPr>
        <w:spacing w:before="0" w:after="120"/>
        <w:jc w:val="both"/>
      </w:pPr>
      <w:r>
        <w:rPr>
          <w:b w:val="0"/>
          <w:i w:val="0"/>
        </w:rPr>
        <w:t>Con la presente scrittura privata, da valere a ogni effetto di legge,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[Nome e cognome del locatore]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«Locatore»,</w:t>
      </w:r>
    </w:p>
    <w:p>
      <w:pPr>
        <w:spacing w:before="120" w:after="160"/>
        <w:jc w:val="center"/>
      </w:pPr>
      <w:r>
        <w:rPr>
          <w:b/>
          <w:i w:val="0"/>
        </w:rPr>
        <w:t>concede in locazione a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[Nome e cognome del conduttore]</w:t>
      </w:r>
      <w:r>
        <w:rPr>
          <w:b w:val="0"/>
          <w:i w:val="0"/>
        </w:rPr>
        <w:t xml:space="preserve">, nato/a a </w:t>
      </w: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 il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residente a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in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 xml:space="preserve">, codice fiscale </w:t>
      </w:r>
      <w:r>
        <w:rPr>
          <w:b w:val="0"/>
          <w:i w:val="0"/>
          <w:highlight w:val="lightGray"/>
        </w:rPr>
        <w:t>[Codice fiscale]</w:t>
      </w:r>
      <w:r>
        <w:rPr>
          <w:b w:val="0"/>
          <w:i w:val="0"/>
        </w:rPr>
        <w:t>, di seguito «Conduttore», che accetta,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l'unità immobiliare sita in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[Via e numero civico]</w:t>
      </w:r>
      <w:r>
        <w:rPr>
          <w:b w:val="0"/>
          <w:i w:val="0"/>
        </w:rPr>
        <w:t xml:space="preserve">, piano </w:t>
      </w:r>
      <w:r>
        <w:rPr>
          <w:b w:val="0"/>
          <w:i w:val="0"/>
          <w:highlight w:val="lightGray"/>
        </w:rPr>
        <w:t>[Piano]</w:t>
      </w:r>
      <w:r>
        <w:rPr>
          <w:b w:val="0"/>
          <w:i w:val="0"/>
        </w:rPr>
        <w:t xml:space="preserve">, interno </w:t>
      </w:r>
      <w:r>
        <w:rPr>
          <w:b w:val="0"/>
          <w:i w:val="0"/>
          <w:highlight w:val="lightGray"/>
        </w:rPr>
        <w:t>[Interno]</w:t>
      </w:r>
      <w:r>
        <w:rPr>
          <w:b w:val="0"/>
          <w:i w:val="0"/>
        </w:rPr>
        <w:t xml:space="preserve">, composta da </w:t>
      </w:r>
      <w:r>
        <w:rPr>
          <w:b w:val="0"/>
          <w:i w:val="0"/>
          <w:highlight w:val="lightGray"/>
        </w:rPr>
        <w:t>[numero vani e descrizione]</w:t>
      </w:r>
      <w:r>
        <w:rPr>
          <w:b w:val="0"/>
          <w:i w:val="0"/>
        </w:rPr>
        <w:t xml:space="preserve">, con </w:t>
      </w:r>
      <w:r>
        <w:rPr>
          <w:b w:val="0"/>
          <w:i w:val="0"/>
          <w:highlight w:val="lightGray"/>
        </w:rPr>
        <w:t>[cantina / box / posto auto]</w:t>
      </w:r>
      <w:r>
        <w:rPr>
          <w:b w:val="0"/>
          <w:i w:val="0"/>
        </w:rPr>
        <w:t xml:space="preserve">, identificata al Catasto Fabbricati del Comune di </w:t>
      </w:r>
      <w:r>
        <w:rPr>
          <w:b w:val="0"/>
          <w:i w:val="0"/>
          <w:highlight w:val="lightGray"/>
        </w:rPr>
        <w:t>[Comune]</w:t>
      </w:r>
      <w:r>
        <w:rPr>
          <w:b w:val="0"/>
          <w:i w:val="0"/>
        </w:rPr>
        <w:t xml:space="preserve"> al foglio </w:t>
      </w:r>
      <w:r>
        <w:rPr>
          <w:b w:val="0"/>
          <w:i w:val="0"/>
          <w:highlight w:val="lightGray"/>
        </w:rPr>
        <w:t>[Foglio]</w:t>
      </w:r>
      <w:r>
        <w:rPr>
          <w:b w:val="0"/>
          <w:i w:val="0"/>
        </w:rPr>
        <w:t xml:space="preserve">, particella </w:t>
      </w:r>
      <w:r>
        <w:rPr>
          <w:b w:val="0"/>
          <w:i w:val="0"/>
          <w:highlight w:val="lightGray"/>
        </w:rPr>
        <w:t>[Particella]</w:t>
      </w:r>
      <w:r>
        <w:rPr>
          <w:b w:val="0"/>
          <w:i w:val="0"/>
        </w:rPr>
        <w:t xml:space="preserve">, subalterno </w:t>
      </w:r>
      <w:r>
        <w:rPr>
          <w:b w:val="0"/>
          <w:i w:val="0"/>
          <w:highlight w:val="lightGray"/>
        </w:rPr>
        <w:t>[Subalterno]</w:t>
      </w:r>
      <w:r>
        <w:rPr>
          <w:b w:val="0"/>
          <w:i w:val="0"/>
        </w:rPr>
        <w:t xml:space="preserve">, categoria </w:t>
      </w:r>
      <w:r>
        <w:rPr>
          <w:b w:val="0"/>
          <w:i w:val="0"/>
          <w:highlight w:val="lightGray"/>
        </w:rPr>
        <w:t>[Categoria]</w:t>
      </w:r>
      <w:r>
        <w:rPr>
          <w:b w:val="0"/>
          <w:i w:val="0"/>
        </w:rPr>
        <w:t xml:space="preserve">, rendita catastale € </w:t>
      </w:r>
      <w:r>
        <w:rPr>
          <w:b w:val="0"/>
          <w:i w:val="0"/>
          <w:highlight w:val="lightGray"/>
        </w:rPr>
        <w:t>[Rendita]</w:t>
      </w:r>
      <w:r>
        <w:rPr>
          <w:b w:val="0"/>
          <w:i w:val="0"/>
        </w:rPr>
        <w:t>, alle seguenti condizioni.</w:t>
      </w:r>
    </w:p>
    <w:p>
      <w:pPr>
        <w:keepNext/>
        <w:spacing w:before="160" w:after="40"/>
      </w:pPr>
      <w:r>
        <w:rPr>
          <w:b/>
          <w:i w:val="0"/>
        </w:rPr>
        <w:t>Art. 1 – Durata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La locazione ha durata di quattro anni, dal </w:t>
      </w:r>
      <w:r>
        <w:rPr>
          <w:b w:val="0"/>
          <w:i w:val="0"/>
          <w:highlight w:val="lightGray"/>
        </w:rPr>
        <w:t>[Data di inizio]</w:t>
      </w:r>
      <w:r>
        <w:rPr>
          <w:b w:val="0"/>
          <w:i w:val="0"/>
        </w:rPr>
        <w:t xml:space="preserve"> al </w:t>
      </w:r>
      <w:r>
        <w:rPr>
          <w:b w:val="0"/>
          <w:i w:val="0"/>
          <w:highlight w:val="lightGray"/>
        </w:rPr>
        <w:t>[Data di fine]</w:t>
      </w:r>
      <w:r>
        <w:rPr>
          <w:b w:val="0"/>
          <w:i w:val="0"/>
        </w:rPr>
        <w:t>, e alla prima scadenza si rinnova automaticamente per ulteriori quattro anni, salvo diniego del rinnovo da parte del Locatore nei casi previsti dall'art. 3 della L. 431/1998, da comunicare con preavviso di almeno sei mesi.</w:t>
      </w:r>
    </w:p>
    <w:p>
      <w:pPr>
        <w:keepNext/>
        <w:spacing w:before="160" w:after="40"/>
      </w:pPr>
      <w:r>
        <w:rPr>
          <w:b/>
          <w:i w:val="0"/>
        </w:rPr>
        <w:t>Art. 2 – Canone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canone annuo è convenuto in € </w:t>
      </w:r>
      <w:r>
        <w:rPr>
          <w:b w:val="0"/>
          <w:i w:val="0"/>
          <w:highlight w:val="lightGray"/>
        </w:rPr>
        <w:t>[Importo annuo]</w:t>
      </w:r>
      <w:r>
        <w:rPr>
          <w:b w:val="0"/>
          <w:i w:val="0"/>
        </w:rPr>
        <w:t xml:space="preserve"> (euro </w:t>
      </w:r>
      <w:r>
        <w:rPr>
          <w:b w:val="0"/>
          <w:i w:val="0"/>
          <w:highlight w:val="lightGray"/>
        </w:rPr>
        <w:t>[importo in lettere]</w:t>
      </w:r>
      <w:r>
        <w:rPr>
          <w:b w:val="0"/>
          <w:i w:val="0"/>
        </w:rPr>
        <w:t xml:space="preserve">), da corrispondere in dodici rate mensili anticipate di € </w:t>
      </w:r>
      <w:r>
        <w:rPr>
          <w:b w:val="0"/>
          <w:i w:val="0"/>
          <w:highlight w:val="lightGray"/>
        </w:rPr>
        <w:t>[Importo mensile]</w:t>
      </w:r>
      <w:r>
        <w:rPr>
          <w:b w:val="0"/>
          <w:i w:val="0"/>
        </w:rPr>
        <w:t xml:space="preserve"> ciascuna, entro il giorno </w:t>
      </w:r>
      <w:r>
        <w:rPr>
          <w:b w:val="0"/>
          <w:i w:val="0"/>
          <w:highlight w:val="lightGray"/>
        </w:rPr>
        <w:t>[Giorno]</w:t>
      </w:r>
      <w:r>
        <w:rPr>
          <w:b w:val="0"/>
          <w:i w:val="0"/>
        </w:rPr>
        <w:t xml:space="preserve"> di ogni mese, mediante bonifico sul conto IBAN </w:t>
      </w:r>
      <w:r>
        <w:rPr>
          <w:b w:val="0"/>
          <w:i w:val="0"/>
          <w:highlight w:val="lightGray"/>
        </w:rPr>
        <w:t>[IBAN]</w:t>
      </w:r>
      <w:r>
        <w:rPr>
          <w:b w:val="0"/>
          <w:i w:val="0"/>
        </w:rPr>
        <w:t xml:space="preserve"> intestato al Locatore. </w:t>
      </w:r>
      <w:r>
        <w:rPr>
          <w:b w:val="0"/>
          <w:i w:val="0"/>
          <w:highlight w:val="lightGray"/>
        </w:rPr>
        <w:t>[Il canone sarà aggiornato annualmente nella misura del 75% della variazione ISTAT dei prezzi al consumo / Il Locatore opta per la cedolare secca e rinuncia all'aggiornamento ISTAT per la durata dell'opzione]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3 – Deposito cauzionale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A garanzia delle obbligazioni assunte, il Conduttore versa al Locatore la somma di € </w:t>
      </w:r>
      <w:r>
        <w:rPr>
          <w:b w:val="0"/>
          <w:i w:val="0"/>
          <w:highlight w:val="lightGray"/>
        </w:rPr>
        <w:t>[Importo]</w:t>
      </w:r>
      <w:r>
        <w:rPr>
          <w:b w:val="0"/>
          <w:i w:val="0"/>
        </w:rPr>
        <w:t xml:space="preserve">, pari a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mensilità del canone (in ogni caso non superiore a tre), non imputabile in conto canoni e produttiva di interessi legali, che saranno corrisposti al Conduttore al termine di ogni anno di locazione. Il deposito sarà restituito al termine della locazione, previa verifica dello stato dell'immobile e dell'adempimento di tutte le obbligazioni contrattuali.</w:t>
      </w:r>
    </w:p>
    <w:p>
      <w:pPr>
        <w:keepNext/>
        <w:spacing w:before="160" w:after="40"/>
      </w:pPr>
      <w:r>
        <w:rPr>
          <w:b/>
          <w:i w:val="0"/>
        </w:rPr>
        <w:t>Art. 4 – Oneri accessori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Sono a carico del Conduttore le spese condominiali ordinarie, le utenze e gli oneri accessori indicati dall'art. 9 della L. 392/1978, che saranno versati </w:t>
      </w:r>
      <w:r>
        <w:rPr>
          <w:b w:val="0"/>
          <w:i w:val="0"/>
          <w:highlight w:val="lightGray"/>
        </w:rPr>
        <w:t>[unitamente al canone, in acconto mensile di € ... con conguaglio annuale / direttamente all'amministratore di condominio]</w:t>
      </w:r>
      <w:r>
        <w:rPr>
          <w:b w:val="0"/>
          <w:i w:val="0"/>
        </w:rPr>
        <w:t>. Sono a carico del Locatore le spese straordinarie.</w:t>
      </w:r>
    </w:p>
    <w:p>
      <w:pPr>
        <w:keepNext/>
        <w:spacing w:before="160" w:after="40"/>
      </w:pPr>
      <w:r>
        <w:rPr>
          <w:b/>
          <w:i w:val="0"/>
        </w:rPr>
        <w:t>Art. 5 – Uso e divieto di sublocazione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L'immobile è destinato esclusivamente ad abitazione del Conduttore e delle persone con lui conviventi: </w:t>
      </w:r>
      <w:r>
        <w:rPr>
          <w:b w:val="0"/>
          <w:i w:val="0"/>
          <w:highlight w:val="lightGray"/>
        </w:rPr>
        <w:t>[nominativi]</w:t>
      </w:r>
      <w:r>
        <w:rPr>
          <w:b w:val="0"/>
          <w:i w:val="0"/>
        </w:rPr>
        <w:t>. È vietata la sublocazione, totale o parziale, e la cessione del contratto senza il consenso scritto del Locatore.</w:t>
      </w:r>
    </w:p>
    <w:p>
      <w:pPr>
        <w:keepNext/>
        <w:spacing w:before="160" w:after="40"/>
      </w:pPr>
      <w:r>
        <w:rPr>
          <w:b/>
          <w:i w:val="0"/>
        </w:rPr>
        <w:t>Art. 6 – Stato dell'immobile e manutenzione</w:t>
      </w:r>
    </w:p>
    <w:p>
      <w:pPr>
        <w:spacing w:before="0" w:after="120"/>
        <w:jc w:val="both"/>
      </w:pPr>
      <w:r>
        <w:rPr>
          <w:b w:val="0"/>
          <w:i w:val="0"/>
        </w:rPr>
        <w:t>Il Conduttore dichiara di aver visitato l'immobile e di averlo trovato in buono stato e idoneo all'uso convenuto, come da verbale di consegna allegato. Sono a carico del Conduttore le riparazioni di piccola manutenzione (art. 1609 c.c.) e a carico del Locatore quelle necessarie a mantenere la cosa in buono stato locativo (art. 1576 c.c.). Il Conduttore non può apportare modifiche o migliorie senza il consenso scritto del Locatore.</w:t>
      </w:r>
    </w:p>
    <w:p>
      <w:pPr>
        <w:keepNext/>
        <w:spacing w:before="160" w:after="40"/>
      </w:pPr>
      <w:r>
        <w:rPr>
          <w:b/>
          <w:i w:val="0"/>
        </w:rPr>
        <w:t>Art. 7 – Recesso del Conduttore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Conduttore può recedere dal contratto </w:t>
      </w:r>
      <w:r>
        <w:rPr>
          <w:b w:val="0"/>
          <w:i w:val="0"/>
          <w:highlight w:val="lightGray"/>
        </w:rPr>
        <w:t>[in qualsiasi momento / per gravi motivi, ai sensi dell'art. 3, comma 6, L. 431/1998]</w:t>
      </w:r>
      <w:r>
        <w:rPr>
          <w:b w:val="0"/>
          <w:i w:val="0"/>
        </w:rPr>
        <w:t>, dandone comunicazione al Locatore con raccomandata A/R o PEC con un preavviso di almeno sei mesi.</w:t>
      </w:r>
    </w:p>
    <w:p>
      <w:pPr>
        <w:keepNext/>
        <w:spacing w:before="160" w:after="40"/>
      </w:pPr>
      <w:r>
        <w:rPr>
          <w:b/>
          <w:i w:val="0"/>
        </w:rPr>
        <w:t>Art. 8 – Attestato di prestazione energetica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Conduttore dichiara di aver ricevuto le informazioni e la documentazione, comprensiva dell'attestato, in ordine alla prestazione energetica dell'immobile (APE n. </w:t>
      </w:r>
      <w:r>
        <w:rPr>
          <w:b w:val="0"/>
          <w:i w:val="0"/>
          <w:highlight w:val="lightGray"/>
        </w:rPr>
        <w:t>[Numero]</w:t>
      </w:r>
      <w:r>
        <w:rPr>
          <w:b w:val="0"/>
          <w:i w:val="0"/>
        </w:rPr>
        <w:t xml:space="preserve"> del </w:t>
      </w:r>
      <w:r>
        <w:rPr>
          <w:b w:val="0"/>
          <w:i w:val="0"/>
          <w:highlight w:val="lightGray"/>
        </w:rPr>
        <w:t>[Data]</w:t>
      </w:r>
      <w:r>
        <w:rPr>
          <w:b w:val="0"/>
          <w:i w:val="0"/>
        </w:rPr>
        <w:t xml:space="preserve">, classe </w:t>
      </w:r>
      <w:r>
        <w:rPr>
          <w:b w:val="0"/>
          <w:i w:val="0"/>
          <w:highlight w:val="lightGray"/>
        </w:rPr>
        <w:t>[Classe]</w:t>
      </w:r>
      <w:r>
        <w:rPr>
          <w:b w:val="0"/>
          <w:i w:val="0"/>
        </w:rPr>
        <w:t>).</w:t>
      </w:r>
    </w:p>
    <w:p>
      <w:pPr>
        <w:keepNext/>
        <w:spacing w:before="160" w:after="40"/>
      </w:pPr>
      <w:r>
        <w:rPr>
          <w:b/>
          <w:i w:val="0"/>
        </w:rPr>
        <w:t>Art. 9 – Registrazione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Il contratto sarà registrato dal Locatore entro trenta giorni dalla stipula. </w:t>
      </w:r>
      <w:r>
        <w:rPr>
          <w:b w:val="0"/>
          <w:i w:val="0"/>
          <w:highlight w:val="lightGray"/>
        </w:rPr>
        <w:t>[Il Locatore esercita l'opzione per il regime della cedolare secca / Le spese di registrazione e l'imposta di bollo sono ripartite in parti uguali tra le parti]</w:t>
      </w:r>
      <w:r>
        <w:rPr>
          <w:b w:val="0"/>
          <w:i w:val="0"/>
        </w:rPr>
        <w:t>.</w:t>
      </w:r>
    </w:p>
    <w:p>
      <w:pPr>
        <w:keepNext/>
        <w:spacing w:before="160" w:after="40"/>
      </w:pPr>
      <w:r>
        <w:rPr>
          <w:b/>
          <w:i w:val="0"/>
        </w:rPr>
        <w:t>Art. 10 – Domicilio e rinvio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Le parti eleggono domicilio, per tutti gli effetti del presente contratto, il Conduttore presso l'immobile locato e il Locatore presso </w:t>
      </w:r>
      <w:r>
        <w:rPr>
          <w:b w:val="0"/>
          <w:i w:val="0"/>
          <w:highlight w:val="lightGray"/>
        </w:rPr>
        <w:t>[Indirizzo]</w:t>
      </w:r>
      <w:r>
        <w:rPr>
          <w:b w:val="0"/>
          <w:i w:val="0"/>
        </w:rPr>
        <w:t>. Per quanto non previsto si rinvia alle norme del codice civile, alla L. 392/1978 e alla L. 431/1998.</w:t>
      </w:r>
    </w:p>
    <w:p>
      <w:pPr>
        <w:spacing w:before="0" w:after="120"/>
        <w:jc w:val="both"/>
      </w:pPr>
      <w:r>
        <w:rPr>
          <w:b w:val="0"/>
          <w:i w:val="0"/>
        </w:rPr>
        <w:t>Letto, approvato e sottoscritto.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[Luogo]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[Data]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Locatore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Il Conduttore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0" w:after="120"/>
        <w:jc w:val="both"/>
      </w:pPr>
      <w:r>
        <w:rPr>
          <w:b w:val="0"/>
          <w:i w:val="0"/>
        </w:rPr>
        <w:t>Ai sensi degli artt. 1341 e 1342 c.c. le parti approvano specificamente le clausole di cui agli artt. 3 (Deposito cauzionale), 5 (Uso e divieto di sublocazione), 6 (Stato dell'immobile e manutenzione) e 7 (Recesso del Conduttore).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r/>
            <w:r>
              <w:rPr>
                <w:i/>
              </w:rPr>
              <w:t>Il Locatore</w:t>
            </w:r>
          </w:p>
        </w:tc>
        <w:tc>
          <w:tcPr>
            <w:tcW w:type="dxa" w:w="4592"/>
          </w:tcPr>
          <w:p>
            <w:r/>
            <w:r>
              <w:rPr>
                <w:i/>
              </w:rPr>
              <w:t>Il Conduttore</w:t>
            </w:r>
          </w:p>
        </w:tc>
      </w:tr>
      <w:tr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  <w:tc>
          <w:tcPr>
            <w:tcW w:type="dxa" w:w="4592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Modello gratuito scaricato da www.modellidicontratto.it – verificarne l'adeguatezza al caso concreto. Aggiornato: 4 novembre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contratto di locazione ad uso abitativo 4+4</dc:title>
  <dc:subject>Contratto di locazione 4+4</dc:subject>
  <dc:creator>Modelli di Contratto</dc:creator>
  <cp:keywords>fac simile, modello, Contratto di locazione 4+4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